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6"/>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pStyle w:val="18"/>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关于组织山东省农产品进出口高质量发展</w:t>
      </w:r>
    </w:p>
    <w:p>
      <w:pPr>
        <w:pStyle w:val="18"/>
        <w:keepNext w:val="0"/>
        <w:keepLines w:val="0"/>
        <w:widowControl/>
        <w:suppressLineNumbers w:val="0"/>
        <w:spacing w:before="0" w:beforeAutospacing="0" w:after="0" w:afterAutospacing="0"/>
        <w:ind w:left="0" w:right="0" w:firstLine="0"/>
        <w:jc w:val="center"/>
        <w:rPr>
          <w:rFonts w:hint="eastAsia"/>
        </w:rPr>
      </w:pPr>
      <w:r>
        <w:rPr>
          <w:rFonts w:hint="eastAsia" w:ascii="方正小标宋简体" w:hAnsi="方正小标宋简体" w:eastAsia="方正小标宋简体" w:cs="方正小标宋简体"/>
          <w:b w:val="0"/>
          <w:bCs/>
          <w:sz w:val="44"/>
          <w:szCs w:val="44"/>
          <w:lang w:eastAsia="zh-CN"/>
        </w:rPr>
        <w:t>现场会的通知</w:t>
      </w:r>
    </w:p>
    <w:p>
      <w:pPr>
        <w:pStyle w:val="18"/>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为推动山东省农产品进出口贸易高质量发展，继续保持在全国领先优势，省商务厅定于2023年6月25日在潍坊市举办山东省农产品进出口高质量发展现场会。现将有关事项通知如下：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会议情况</w:t>
      </w:r>
    </w:p>
    <w:p>
      <w:pPr>
        <w:keepNext w:val="0"/>
        <w:keepLines w:val="0"/>
        <w:pageBreakBefore w:val="0"/>
        <w:widowControl w:val="0"/>
        <w:kinsoku/>
        <w:wordWrap/>
        <w:overflowPunct/>
        <w:topLinePunct w:val="0"/>
        <w:autoSpaceDE/>
        <w:autoSpaceDN/>
        <w:bidi w:val="0"/>
        <w:adjustRightInd w:val="0"/>
        <w:snapToGrid w:val="0"/>
        <w:spacing w:line="560" w:lineRule="exact"/>
        <w:ind w:left="1598" w:leftChars="618" w:right="105" w:rightChars="50" w:hanging="300" w:hangingChars="100"/>
        <w:textAlignment w:val="auto"/>
        <w:rPr>
          <w:rFonts w:hint="eastAsia" w:ascii="新宋体" w:hAnsi="新宋体" w:eastAsia="新宋体" w:cs="新宋体"/>
          <w:b w:val="0"/>
          <w:bCs w:val="0"/>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展会名称：山东省农产品进出口高质量发展现场会</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年6月24日至25日</w:t>
      </w:r>
    </w:p>
    <w:p>
      <w:pPr>
        <w:keepNext w:val="0"/>
        <w:keepLines w:val="0"/>
        <w:pageBreakBefore w:val="0"/>
        <w:widowControl w:val="0"/>
        <w:kinsoku/>
        <w:wordWrap/>
        <w:overflowPunct/>
        <w:topLinePunct w:val="0"/>
        <w:autoSpaceDE/>
        <w:autoSpaceDN/>
        <w:bidi w:val="0"/>
        <w:adjustRightInd w:val="0"/>
        <w:snapToGrid w:val="0"/>
        <w:spacing w:line="560" w:lineRule="exact"/>
        <w:ind w:left="2798" w:leftChars="618" w:right="105" w:rightChars="50" w:hanging="1500" w:hangingChars="5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w:t>
      </w:r>
      <w:r>
        <w:rPr>
          <w:rFonts w:hint="eastAsia" w:ascii="新宋体" w:hAnsi="新宋体" w:eastAsia="新宋体" w:cs="新宋体"/>
          <w:color w:val="000000"/>
          <w:kern w:val="2"/>
          <w:sz w:val="30"/>
          <w:szCs w:val="30"/>
          <w:lang w:val="en-US" w:eastAsia="zh-CN" w:bidi="ar-SA"/>
        </w:rPr>
        <w:t>安丘齐鲁酒地裕景大酒店（安丘市经济开发区潍安路与齐鲁酒地大道交汇处西北角齐鲁酒地园区内）</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会议日程</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24日下午：17:00前报到</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25日上午：实地考察3-4家企业</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25日下午：工作会议</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1.潍坊安丘市主要负责同志致辞；</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2.省商务厅副厅长吕伟同志通报全省外贸以及农产品进出口工作情况；</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3.青岛海关介绍农产品进出口通关便利化措施；</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 xml:space="preserve">    4.中国食品土畜进出口商会副会长于露作专题讲座；</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5.3家企业分别介绍产品创新、品牌培育、新市场开拓等方面经验做法。</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参会范围</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1.各县市区商务主管部门分管负责同志，业务科室负责同志。</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2.各县市区主要农产品进出口企业负责人。</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四、工作要求</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请各县市区商务主管部门要认真组织农产品进出口企业报名参会，并于2023年6月20日15点前将山东省农产品进出口高质量发展现场会参会回执填写完整并加盖单位公章后发送至cds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件：山东省农产品进出口高质量发展现场会参会回执</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6</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19</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105" w:rightChars="50"/>
        <w:jc w:val="both"/>
        <w:textAlignment w:val="auto"/>
        <w:rPr>
          <w:rFonts w:eastAsia="华文仿宋"/>
          <w:bCs/>
          <w:color w:val="000000"/>
          <w:sz w:val="32"/>
          <w:szCs w:val="32"/>
        </w:rPr>
      </w:pPr>
    </w:p>
    <w:p>
      <w:pPr>
        <w:pStyle w:val="2"/>
        <w:rPr>
          <w:rFonts w:eastAsia="华文仿宋"/>
          <w:bCs/>
          <w:color w:val="000000"/>
          <w:sz w:val="32"/>
          <w:szCs w:val="32"/>
        </w:rPr>
      </w:pPr>
    </w:p>
    <w:p>
      <w:pPr>
        <w:pStyle w:val="3"/>
        <w:ind w:left="0" w:leftChars="0" w:firstLine="720" w:firstLineChars="200"/>
        <w:rPr>
          <w:rFonts w:hint="eastAsia"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color w:val="000000"/>
          <w:kern w:val="2"/>
          <w:sz w:val="36"/>
          <w:szCs w:val="36"/>
          <w:lang w:val="en-US" w:eastAsia="zh-CN" w:bidi="ar-SA"/>
        </w:rPr>
        <w:t>山东省农产品进出口高质量发展现场会参会回执</w:t>
      </w:r>
    </w:p>
    <w:p/>
    <w:tbl>
      <w:tblPr>
        <w:tblStyle w:val="22"/>
        <w:tblpPr w:leftFromText="180" w:rightFromText="180" w:vertAnchor="text" w:horzAnchor="page" w:tblpX="1352" w:tblpY="164"/>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25"/>
        <w:gridCol w:w="2621"/>
        <w:gridCol w:w="1127"/>
        <w:gridCol w:w="247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5"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序号</w:t>
            </w:r>
          </w:p>
        </w:tc>
        <w:tc>
          <w:tcPr>
            <w:tcW w:w="1425"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姓名</w:t>
            </w:r>
          </w:p>
        </w:tc>
        <w:tc>
          <w:tcPr>
            <w:tcW w:w="2621"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单位名称</w:t>
            </w:r>
          </w:p>
        </w:tc>
        <w:tc>
          <w:tcPr>
            <w:tcW w:w="1127"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职务</w:t>
            </w:r>
          </w:p>
        </w:tc>
        <w:tc>
          <w:tcPr>
            <w:tcW w:w="2477"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联系方式</w:t>
            </w:r>
          </w:p>
        </w:tc>
        <w:tc>
          <w:tcPr>
            <w:tcW w:w="930" w:type="dxa"/>
            <w:vAlign w:val="center"/>
          </w:tcPr>
          <w:p>
            <w:pPr>
              <w:bidi w:val="0"/>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5" w:type="dxa"/>
          </w:tcPr>
          <w:p>
            <w:pPr>
              <w:pStyle w:val="3"/>
              <w:rPr>
                <w:vertAlign w:val="baseline"/>
              </w:rPr>
            </w:pPr>
          </w:p>
        </w:tc>
        <w:tc>
          <w:tcPr>
            <w:tcW w:w="1425" w:type="dxa"/>
          </w:tcPr>
          <w:p>
            <w:pPr>
              <w:pStyle w:val="3"/>
              <w:rPr>
                <w:vertAlign w:val="baseline"/>
              </w:rPr>
            </w:pPr>
          </w:p>
        </w:tc>
        <w:tc>
          <w:tcPr>
            <w:tcW w:w="2621" w:type="dxa"/>
          </w:tcPr>
          <w:p>
            <w:pPr>
              <w:pStyle w:val="3"/>
              <w:rPr>
                <w:vertAlign w:val="baseline"/>
              </w:rPr>
            </w:pPr>
          </w:p>
        </w:tc>
        <w:tc>
          <w:tcPr>
            <w:tcW w:w="1127" w:type="dxa"/>
          </w:tcPr>
          <w:p>
            <w:pPr>
              <w:pStyle w:val="3"/>
              <w:rPr>
                <w:vertAlign w:val="baseline"/>
              </w:rPr>
            </w:pPr>
          </w:p>
        </w:tc>
        <w:tc>
          <w:tcPr>
            <w:tcW w:w="2477" w:type="dxa"/>
          </w:tcPr>
          <w:p>
            <w:pPr>
              <w:pStyle w:val="3"/>
              <w:rPr>
                <w:vertAlign w:val="baseline"/>
              </w:rPr>
            </w:pPr>
          </w:p>
        </w:tc>
        <w:tc>
          <w:tcPr>
            <w:tcW w:w="930" w:type="dxa"/>
          </w:tcPr>
          <w:p>
            <w:pPr>
              <w:pStyle w:val="3"/>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25" w:type="dxa"/>
          </w:tcPr>
          <w:p>
            <w:pPr>
              <w:pStyle w:val="3"/>
              <w:rPr>
                <w:vertAlign w:val="baseline"/>
              </w:rPr>
            </w:pPr>
          </w:p>
        </w:tc>
        <w:tc>
          <w:tcPr>
            <w:tcW w:w="1425" w:type="dxa"/>
          </w:tcPr>
          <w:p>
            <w:pPr>
              <w:pStyle w:val="3"/>
              <w:rPr>
                <w:vertAlign w:val="baseline"/>
              </w:rPr>
            </w:pPr>
          </w:p>
        </w:tc>
        <w:tc>
          <w:tcPr>
            <w:tcW w:w="2621" w:type="dxa"/>
          </w:tcPr>
          <w:p>
            <w:pPr>
              <w:pStyle w:val="3"/>
              <w:rPr>
                <w:vertAlign w:val="baseline"/>
              </w:rPr>
            </w:pPr>
          </w:p>
        </w:tc>
        <w:tc>
          <w:tcPr>
            <w:tcW w:w="1127" w:type="dxa"/>
          </w:tcPr>
          <w:p>
            <w:pPr>
              <w:pStyle w:val="3"/>
              <w:rPr>
                <w:vertAlign w:val="baseline"/>
              </w:rPr>
            </w:pPr>
          </w:p>
        </w:tc>
        <w:tc>
          <w:tcPr>
            <w:tcW w:w="2477" w:type="dxa"/>
          </w:tcPr>
          <w:p>
            <w:pPr>
              <w:pStyle w:val="3"/>
              <w:rPr>
                <w:vertAlign w:val="baseline"/>
              </w:rPr>
            </w:pPr>
          </w:p>
        </w:tc>
        <w:tc>
          <w:tcPr>
            <w:tcW w:w="930" w:type="dxa"/>
          </w:tcPr>
          <w:p>
            <w:pPr>
              <w:pStyle w:val="3"/>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825" w:type="dxa"/>
          </w:tcPr>
          <w:p>
            <w:pPr>
              <w:pStyle w:val="3"/>
              <w:rPr>
                <w:vertAlign w:val="baseline"/>
              </w:rPr>
            </w:pPr>
          </w:p>
        </w:tc>
        <w:tc>
          <w:tcPr>
            <w:tcW w:w="1425" w:type="dxa"/>
          </w:tcPr>
          <w:p>
            <w:pPr>
              <w:pStyle w:val="3"/>
              <w:rPr>
                <w:vertAlign w:val="baseline"/>
              </w:rPr>
            </w:pPr>
          </w:p>
        </w:tc>
        <w:tc>
          <w:tcPr>
            <w:tcW w:w="2621" w:type="dxa"/>
          </w:tcPr>
          <w:p>
            <w:pPr>
              <w:pStyle w:val="3"/>
              <w:rPr>
                <w:vertAlign w:val="baseline"/>
              </w:rPr>
            </w:pPr>
          </w:p>
        </w:tc>
        <w:tc>
          <w:tcPr>
            <w:tcW w:w="1127" w:type="dxa"/>
          </w:tcPr>
          <w:p>
            <w:pPr>
              <w:pStyle w:val="3"/>
              <w:rPr>
                <w:vertAlign w:val="baseline"/>
              </w:rPr>
            </w:pPr>
          </w:p>
        </w:tc>
        <w:tc>
          <w:tcPr>
            <w:tcW w:w="2477" w:type="dxa"/>
          </w:tcPr>
          <w:p>
            <w:pPr>
              <w:pStyle w:val="3"/>
              <w:rPr>
                <w:vertAlign w:val="baseline"/>
              </w:rPr>
            </w:pPr>
          </w:p>
        </w:tc>
        <w:tc>
          <w:tcPr>
            <w:tcW w:w="930" w:type="dxa"/>
          </w:tcPr>
          <w:p>
            <w:pPr>
              <w:pStyle w:val="3"/>
              <w:rPr>
                <w:vertAlign w:val="baseline"/>
              </w:rPr>
            </w:pPr>
          </w:p>
        </w:tc>
      </w:tr>
    </w:tbl>
    <w:p>
      <w:pPr>
        <w:pStyle w:val="3"/>
      </w:pPr>
      <w:bookmarkStart w:id="0" w:name="_GoBack"/>
      <w:bookmarkEnd w:id="0"/>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Fonts w:hint="eastAsia" w:ascii="宋体" w:hAnsi="宋体"/>
        <w:sz w:val="24"/>
      </w:rPr>
    </w:pPr>
    <w:r>
      <w:rPr>
        <w:rStyle w:val="25"/>
        <w:rFonts w:hint="eastAsia" w:ascii="宋体" w:hAnsi="宋体"/>
        <w:sz w:val="24"/>
      </w:rPr>
      <w:t xml:space="preserve">— </w:t>
    </w:r>
    <w:r>
      <w:rPr>
        <w:rFonts w:ascii="宋体" w:hAnsi="宋体"/>
        <w:sz w:val="24"/>
      </w:rPr>
      <w:fldChar w:fldCharType="begin"/>
    </w:r>
    <w:r>
      <w:rPr>
        <w:rStyle w:val="25"/>
        <w:rFonts w:ascii="宋体" w:hAnsi="宋体"/>
        <w:sz w:val="24"/>
      </w:rPr>
      <w:instrText xml:space="preserve">PAGE  </w:instrText>
    </w:r>
    <w:r>
      <w:rPr>
        <w:rFonts w:ascii="宋体" w:hAnsi="宋体"/>
        <w:sz w:val="24"/>
      </w:rPr>
      <w:fldChar w:fldCharType="separate"/>
    </w:r>
    <w:r>
      <w:rPr>
        <w:rStyle w:val="25"/>
        <w:rFonts w:ascii="宋体" w:hAnsi="宋体"/>
        <w:sz w:val="24"/>
      </w:rPr>
      <w:t>2</w:t>
    </w:r>
    <w:r>
      <w:rPr>
        <w:rFonts w:ascii="宋体" w:hAnsi="宋体"/>
        <w:sz w:val="24"/>
      </w:rPr>
      <w:fldChar w:fldCharType="end"/>
    </w:r>
    <w:r>
      <w:rPr>
        <w:rStyle w:val="25"/>
        <w:rFonts w:hint="eastAsia" w:ascii="宋体" w:hAnsi="宋体"/>
        <w:sz w:val="24"/>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678E1A"/>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8BF76B5"/>
    <w:rsid w:val="79FBF61F"/>
    <w:rsid w:val="7AE9C865"/>
    <w:rsid w:val="7BFE1EF0"/>
    <w:rsid w:val="7E7B793A"/>
    <w:rsid w:val="7F333B26"/>
    <w:rsid w:val="7F572A8D"/>
    <w:rsid w:val="7F9F0875"/>
    <w:rsid w:val="7FF7B99C"/>
    <w:rsid w:val="7FFEF5C5"/>
    <w:rsid w:val="9F3F92C7"/>
    <w:rsid w:val="9F76D721"/>
    <w:rsid w:val="ADB57F37"/>
    <w:rsid w:val="B74AC57A"/>
    <w:rsid w:val="BA2A3CCA"/>
    <w:rsid w:val="BF7BEDCB"/>
    <w:rsid w:val="C7D7434B"/>
    <w:rsid w:val="CD37C609"/>
    <w:rsid w:val="D1EEB161"/>
    <w:rsid w:val="DB6FB16E"/>
    <w:rsid w:val="DDE73058"/>
    <w:rsid w:val="E17B9F51"/>
    <w:rsid w:val="EBBF64BC"/>
    <w:rsid w:val="EBFFE780"/>
    <w:rsid w:val="F375C290"/>
    <w:rsid w:val="F3F3BC86"/>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仿宋_GB2312" w:eastAsia="仿宋_GB2312"/>
      <w:sz w:val="28"/>
      <w:szCs w:val="28"/>
    </w:rPr>
  </w:style>
  <w:style w:type="paragraph" w:styleId="5">
    <w:name w:val="heading 2"/>
    <w:basedOn w:val="1"/>
    <w:next w:val="1"/>
    <w:qFormat/>
    <w:uiPriority w:val="0"/>
    <w:pPr>
      <w:keepNext/>
      <w:jc w:val="center"/>
      <w:outlineLvl w:val="1"/>
    </w:pPr>
    <w:rPr>
      <w:rFonts w:ascii="仿宋_GB2312" w:eastAsia="仿宋_GB2312"/>
      <w:b/>
      <w:sz w:val="28"/>
      <w:szCs w:val="28"/>
    </w:rPr>
  </w:style>
  <w:style w:type="paragraph" w:styleId="6">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color w:val="000000"/>
      <w:sz w:val="32"/>
      <w:szCs w:val="32"/>
    </w:rPr>
  </w:style>
  <w:style w:type="paragraph" w:styleId="3">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7">
    <w:name w:val="Body Text 3"/>
    <w:basedOn w:val="1"/>
    <w:qFormat/>
    <w:uiPriority w:val="0"/>
    <w:pPr>
      <w:jc w:val="center"/>
    </w:pPr>
    <w:rPr>
      <w:rFonts w:eastAsia="方正小标宋简体"/>
      <w:b/>
      <w:sz w:val="44"/>
      <w:szCs w:val="44"/>
    </w:rPr>
  </w:style>
  <w:style w:type="paragraph" w:styleId="8">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9">
    <w:name w:val="Block Text"/>
    <w:basedOn w:val="1"/>
    <w:qFormat/>
    <w:uiPriority w:val="0"/>
    <w:pPr>
      <w:snapToGrid w:val="0"/>
      <w:ind w:left="-42" w:leftChars="-20" w:right="-40" w:rightChars="-19"/>
      <w:jc w:val="center"/>
    </w:pPr>
    <w:rPr>
      <w:rFonts w:ascii="楷体_GB2312"/>
      <w:bCs/>
      <w:color w:val="000000"/>
      <w:sz w:val="24"/>
      <w:szCs w:val="32"/>
    </w:rPr>
  </w:style>
  <w:style w:type="paragraph" w:styleId="10">
    <w:name w:val="Plain Text"/>
    <w:basedOn w:val="1"/>
    <w:qFormat/>
    <w:uiPriority w:val="0"/>
    <w:rPr>
      <w:rFonts w:ascii="宋体"/>
      <w:szCs w:val="20"/>
    </w:rPr>
  </w:style>
  <w:style w:type="paragraph" w:styleId="11">
    <w:name w:val="Date"/>
    <w:basedOn w:val="1"/>
    <w:next w:val="1"/>
    <w:qFormat/>
    <w:uiPriority w:val="0"/>
    <w:pPr>
      <w:ind w:left="100" w:leftChars="2500"/>
    </w:pPr>
    <w:rPr>
      <w:rFonts w:ascii="仿宋_GB2312" w:eastAsia="仿宋_GB2312"/>
      <w:color w:val="000000"/>
      <w:sz w:val="32"/>
      <w:szCs w:val="32"/>
    </w:rPr>
  </w:style>
  <w:style w:type="paragraph" w:styleId="12">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6">
    <w:name w:val="Body Text 2"/>
    <w:basedOn w:val="1"/>
    <w:qFormat/>
    <w:uiPriority w:val="0"/>
    <w:pPr>
      <w:spacing w:line="576" w:lineRule="exact"/>
      <w:jc w:val="center"/>
    </w:pPr>
    <w:rPr>
      <w:rFonts w:eastAsia="方正小标宋简体"/>
      <w:bCs/>
      <w:color w:val="000000"/>
      <w:sz w:val="44"/>
      <w:szCs w:val="4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widowControl/>
      <w:jc w:val="left"/>
    </w:pPr>
    <w:rPr>
      <w:rFonts w:ascii="宋体" w:hAnsi="宋体"/>
      <w:kern w:val="0"/>
      <w:sz w:val="24"/>
    </w:rPr>
  </w:style>
  <w:style w:type="paragraph" w:styleId="19">
    <w:name w:val="Body Text First Indent"/>
    <w:basedOn w:val="2"/>
    <w:qFormat/>
    <w:uiPriority w:val="0"/>
    <w:pPr>
      <w:ind w:firstLine="420" w:firstLineChars="100"/>
    </w:pPr>
  </w:style>
  <w:style w:type="paragraph" w:styleId="20">
    <w:name w:val="Body Text First Indent 2"/>
    <w:basedOn w:val="8"/>
    <w:next w:val="1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shd w:val="clear" w:color="auto" w:fill="auto"/>
      <w:vertAlign w:val="baseline"/>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1"/>
    <w:qFormat/>
    <w:uiPriority w:val="0"/>
    <w:pPr>
      <w:ind w:firstLine="420" w:firstLineChars="200"/>
    </w:pPr>
  </w:style>
  <w:style w:type="character" w:customStyle="1" w:styleId="29">
    <w:name w:val="font11"/>
    <w:basedOn w:val="23"/>
    <w:qFormat/>
    <w:uiPriority w:val="0"/>
    <w:rPr>
      <w:rFonts w:hint="eastAsia" w:ascii="黑体" w:hAnsi="宋体" w:eastAsia="黑体" w:cs="黑体"/>
      <w:b/>
      <w:color w:val="000000"/>
      <w:sz w:val="24"/>
      <w:szCs w:val="24"/>
      <w:u w:val="none"/>
    </w:rPr>
  </w:style>
  <w:style w:type="character" w:customStyle="1" w:styleId="30">
    <w:name w:val="font21"/>
    <w:basedOn w:val="23"/>
    <w:qFormat/>
    <w:uiPriority w:val="0"/>
    <w:rPr>
      <w:rFonts w:hint="eastAsia" w:ascii="黑体" w:hAnsi="宋体" w:eastAsia="黑体" w:cs="黑体"/>
      <w:b/>
      <w:color w:val="000000"/>
      <w:sz w:val="24"/>
      <w:szCs w:val="24"/>
      <w:u w:val="none"/>
    </w:rPr>
  </w:style>
  <w:style w:type="character" w:customStyle="1" w:styleId="31">
    <w:name w:val="apple-style-span"/>
    <w:basedOn w:val="23"/>
    <w:qFormat/>
    <w:uiPriority w:val="0"/>
  </w:style>
  <w:style w:type="character" w:customStyle="1" w:styleId="32">
    <w:name w:val="login"/>
    <w:basedOn w:val="23"/>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4</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2020-03-21T12:27:00Z</dcterms:created>
  <dc:creator>微软用户</dc:creator>
  <cp:lastModifiedBy>user</cp:lastModifiedBy>
  <cp:lastPrinted>2019-12-09T06:12:00Z</cp:lastPrinted>
  <dcterms:modified xsi:type="dcterms:W3CDTF">2023-06-19T15:55:10Z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