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9264;mso-width-relative:page;mso-height-relative:page;" filled="f" stroked="t" coordsize="21600,21600" o:gfxdata="UEsDBAoAAAAAAIdO4kAAAAAAAAAAAAAAAAAEAAAAZHJzL1BLAwQUAAAACACHTuJAvlQJxNQAAAAJ&#10;AQAADwAAAGRycy9kb3ducmV2LnhtbE2PsW7CMBCG90p9B+sqsYGNUUpI4zBU6twCHTqa+Egi4nNk&#10;OwTevq46wHh3n/77/nJ7tT27oA+dIwXLhQCGVDvTUaPg+/Axz4GFqMno3hEquGGAbfX8VOrCuIl2&#10;eNnHhqUQCoVW0MY4FJyHukWrw8INSOl2ct7qmEbfcOP1lMJtz6UQr9zqjtKHVg/43mJ93o9Wwc/a&#10;k5t2n6ev1Ui3IIfzQWZCqdnLUrwBi3iNdxj+9JM6VMnp6EYygfUK5lJkCVWQyTWwBOT5ZgPs+L/g&#10;VckfG1S/UEsDBBQAAAAIAIdO4kC+jKUw7QEAAOIDAAAOAAAAZHJzL2Uyb0RvYy54bWytU0tu2zAQ&#10;3RfoHQjua0lG0waC5SziuJuiNdDkAGOSsojwBw5t2WfpNbrqpsfJNTqUFKdNN15UC2rIGb6Z92a4&#10;uDlaww4qovau4dWs5Ew54aV2u4Y/3K/fXXOGCZwE451q+Ekhv1m+fbPoQ63mvvNGqsgIxGHdh4Z3&#10;KYW6KFB0ygLOfFCOnK2PFhJt466QEXpCt6aYl+WHovdRhuiFQqTT1ejkE2K8BNC3rRZq5cXeKpdG&#10;1KgMJKKEnQ7Il0O1batE+tq2qBIzDSemaVgpCdnbvBbLBdS7CKHTYioBLinhFScL2lHSM9QKErB9&#10;1P9AWS2iR9+mmfC2GIkMihCLqnylzbcOghq4kNQYzqLj/4MVXw6byLSkSeDMgaWGP33/8fTzF5tn&#10;bfqANYXcuk2cdhg2MRM9ttHmP1Fgx0HP01lPdUxM0OHVx+uqfE9Si2df8XIxREyflLcsGw032mWq&#10;UMPhMyZKRqHPIfnYONZnxOoq4wENXksNJ9MGKj5R+x7vu6kJ6I2Wa21Mvohxt701kR2ARmC9LunL&#10;zAj+r7CcawXYjXGDaxyOToG8c5KlUyBxHL0JniuxSnJmFD2hbBEg1Am0uSSSUhtHFWRxRzmztfXy&#10;RK3Yh6h3HQlSDVVmD7V+qHca0zxbf+4HpJenuf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lQJ&#10;xNQAAAAJAQAADwAAAAAAAAABACAAAAAiAAAAZHJzL2Rvd25yZXYueG1sUEsBAhQAFAAAAAgAh07i&#10;QL6MpTDtAQAA4gMAAA4AAAAAAAAAAQAgAAAAIwEAAGRycy9lMm9Eb2MueG1sUEsFBgAAAAAGAAYA&#10;WQEAAII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60288;mso-width-relative:page;mso-height-relative:page;" filled="f" stroked="f" coordsize="21600,21600" o:gfxdata="UEsDBAoAAAAAAIdO4kAAAAAAAAAAAAAAAAAEAAAAZHJzL1BLAwQUAAAACACHTuJADF/8jNkAAAAK&#10;AQAADwAAAGRycy9kb3ducmV2LnhtbE2PS0/DMBCE70j9D9ZW4kbtpA81IU6FEJyQEGk4cHRiN7Ea&#10;r0PsPvj3LKdy3JlPszPF7uoGdjZTsB4lJAsBzGDrtcVOwmf9+rAFFqJCrQaPRsKPCbArZ3eFyrW/&#10;YGXO+9gxCsGQKwl9jGPOeWh741RY+NEgeQc/ORXpnDquJ3WhcDfwVIgNd8oifejVaJ570x73Jyfh&#10;6QurF/v93nxUh8rWdSbwbXOU8n6eiEdg0VzjDYa/+lQdSurU+BPqwAYJ6XpNJOlJugJGwHaV0biG&#10;nOUyA14W/P+E8hdQSwMEFAAAAAgAh07iQKr983PEAQAAgAMAAA4AAABkcnMvZTJvRG9jLnhtbK1T&#10;zY7TMBC+I/EOlu/btJHKLlHTlVC1CAkB0sIDuI7TWPLfzrhN+gLwBpy4cOe5+hyMnaYLy2UPXJwv&#10;M5Nv5vvGWd0O1rCDAtTe1Xwxm3OmnPSNdruaf/l8d3XDGUbhGmG8UzU/KuS365cvVn2oVOk7bxoF&#10;jEgcVn2oeRdjqIoCZaeswJkPylGy9WBFpFfYFQ2IntitKcr5/FXRe2gCeKkQKboZk/zMCM8h9G2r&#10;pdp4ubfKxZEVlBGRJGGnA/J1nrZtlYwf2xZVZKbmpDTmk5oQ3qazWK9EtQMROi3PI4jnjPBEkxXa&#10;UdML1UZEwfag/6GyWoJH38aZ9LYYhWRHSMVi/sSb+04ElbWQ1RgupuP/o5UfDp+A6abmJWdOWFr4&#10;6fu3049fp59f2U2ypw9YUdV9oLo4vPEDXZopjhRMqocWbHqSHkZ5Mvd4MVcNkUkKLsvydVkuOZOU&#10;u75eLAkTffH4dQCMb5W3LIGaAy0veyoO7zGOpVNJaub8nTYmL9C4vwLEmSJFGn0cMaE4bIeznq1v&#10;jiSnp73XHB/2AhRn5p0jY9MlmQBMYDuBfQC962i4bEFuQIvJKs6XKG3+z/c8xuOPs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F/8jNkAAAAKAQAADwAAAAAAAAABACAAAAAiAAAAZHJzL2Rvd25y&#10;ZXYueG1sUEsBAhQAFAAAAAgAh07iQKr983PEAQAAg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年土耳其工业展览会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27"/>
        <w:rPr>
          <w:rFonts w:hint="eastAsi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为积极引导我市机电企业广泛开拓国际市场，带动全市工业行业深度开拓一带一路国际市场，我市拟组织有关企业参加2023年6月在土耳其举办的“2023年土耳其工业展览会 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1200" w:firstLineChars="4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展会名称：2023年土耳其工业展览会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105" w:leftChars="50" w:right="105" w:rightChars="50" w:firstLine="1200" w:firstLineChars="4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年6月7日-10日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伊斯坦布尔展览中心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土耳其工业展览会工业能源系统展、土耳其工业展览会集成自动化及动力传动展、土耳其</w:t>
      </w:r>
      <w:bookmarkStart w:id="0" w:name="_GoBack"/>
      <w:bookmarkEnd w:id="0"/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工业展览会物流技术展、土耳其工业展览会机床及机械展、土耳其工业展览会焊接与切割技术展。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自“一带一路”倡议提出以来, WIN Eurasia 凭借土耳其连接欧亚非的独特地理优势,获得越来越多国际企业, 尤其是中国企业的青睐。在数字化转型背景下,来自钣金加工、金属成型技术、自动化及动力传动服务、电子电气设备、液压和气动服务、内部物流等各领域的所有工业产品和服务都汇集于此。展品类别包括集成自动化和流体动力传动，能源、电气与电子技术，物料处理,供应链管理和内部物流解决方案，钣金加工，金属切削和成型技术，焊接与切割技术。预计展会面积达到25000平米，参展观众达到39000人，参展商数量及参展品牌达到500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,集成自动化及动力传动：生产、加工和自动化能源系统，机器人，气动和液压系统，减速电动机，车轮和减速系统，传动和液压系统，轴承，驱动行业内的密封件技术及润滑系统，线性电路技术，工业信息技术和软件，生产技术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,能源、电子和电气：电缆和电力传输设备，电气、电子测试和测量设备，变压器、蓄电池、不间断电源和发动机，电气开关设备及配电设备，电子和光电复合，变速箱、机械驱动系统，照明设备、电力和工程服务，网络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,物料处理、供应链管理、内部物流：搬运、升降设备和技术，存储系统、货架系统及技术，装载和传送系统和设备，物流和供应链管理，用于仓库和作业包装技术，打标、条码应用和标识系统，用于物流和内部物流的应用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4,金属板材加工：金属板、半成品以及产品加工，管材/型面加工，机械零件和元件，滚珠轴承，手动工具和配件，加工技术，成型技术，接合与紧固技术，增材制造技术。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5,表面处理技术：表面处理技术，表面处理技术（机械类），表面处理技术（化学类），表面处理技术（电化学/电解质类），喷漆、抛光、涂覆设备，喷漆和塑料涂层系统，表面清洁和预处理，计量设备和质量控制，硬件及软件，工程和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48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6,切割技术：焊接技术，锡焊技术，机器人焊接、自动化焊接解决方案，等离子切割系统，电阻焊接系统，焊接机器人，配件和组件，软件及硬件，服务、咨询、教育。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45" w:firstLineChars="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展会费用</w:t>
      </w:r>
    </w:p>
    <w:tbl>
      <w:tblPr>
        <w:tblStyle w:val="20"/>
        <w:tblpPr w:leftFromText="180" w:rightFromText="180" w:vertAnchor="text" w:horzAnchor="page" w:tblpXSpec="center" w:tblpY="123"/>
        <w:tblOverlap w:val="never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00"/>
        <w:gridCol w:w="3604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付款项目</w:t>
            </w:r>
          </w:p>
        </w:tc>
        <w:tc>
          <w:tcPr>
            <w:tcW w:w="51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 w:firstLine="2160" w:firstLineChars="9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包含内容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4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 w:firstLine="240" w:firstLineChars="1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展位费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标准展位</w:t>
            </w:r>
          </w:p>
        </w:tc>
        <w:tc>
          <w:tcPr>
            <w:tcW w:w="3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含展位搭建，基本道具等（双开加收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37,800元人民币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光地</w:t>
            </w:r>
          </w:p>
        </w:tc>
        <w:tc>
          <w:tcPr>
            <w:tcW w:w="3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18平方米起订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（双开加收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3,700元人民币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 w:firstLine="240" w:firstLineChars="1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报名费</w:t>
            </w:r>
          </w:p>
        </w:tc>
        <w:tc>
          <w:tcPr>
            <w:tcW w:w="51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含国内外联络费、组织服务费等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2,000元人民币/公司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 w:firstLine="240" w:firstLineChars="1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人员费</w:t>
            </w:r>
          </w:p>
        </w:tc>
        <w:tc>
          <w:tcPr>
            <w:tcW w:w="51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包括：往返机票、在外期间的住宿，伙食，交通费，保险费，签证费用等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75"/>
              </w:tabs>
              <w:kinsoku/>
              <w:wordWrap/>
              <w:overflowPunct/>
              <w:topLinePunct w:val="0"/>
              <w:bidi w:val="0"/>
              <w:spacing w:line="48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待定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105" w:leftChars="50" w:right="105" w:rightChars="5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80" w:lineRule="exact"/>
        <w:ind w:left="105" w:leftChars="50" w:right="105" w:rightChars="50" w:firstLine="640"/>
        <w:jc w:val="both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为支持企业减轻企业负担，将对参展企业展位、展品运输等费用给予补助，相关补助费用将另行通知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请各县市区商务主管部门要广泛宣传，积极组织动员有意向的企业报名参展，并于2023年2月25日前将2023年土耳其工业展览会报名表填写完整并加盖单位公章后发送至cds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1" w:leftChars="334" w:right="105" w:rightChars="50" w:hanging="900" w:hangingChars="3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件：2023年土耳其工业展览会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27"/>
        <w:ind w:left="0" w:leftChars="0" w:firstLine="0" w:firstLineChars="0"/>
        <w:rPr>
          <w:rFonts w:hint="eastAsia" w:eastAsia="华文仿宋"/>
          <w:bCs/>
          <w:color w:val="000000"/>
          <w:sz w:val="32"/>
          <w:szCs w:val="32"/>
          <w:lang w:val="en-US" w:eastAsia="zh-CN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参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展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申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请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表（代合同）</w:t>
      </w:r>
    </w:p>
    <w:tbl>
      <w:tblPr>
        <w:tblStyle w:val="20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58"/>
        <w:gridCol w:w="529"/>
        <w:gridCol w:w="489"/>
        <w:gridCol w:w="1055"/>
        <w:gridCol w:w="209"/>
        <w:gridCol w:w="984"/>
        <w:gridCol w:w="762"/>
        <w:gridCol w:w="1775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920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展会名称：</w:t>
            </w:r>
            <w:r>
              <w:rPr>
                <w:rFonts w:hint="eastAsia" w:ascii="新宋体" w:hAnsi="新宋体" w:eastAsia="新宋体" w:cs="新宋体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023年土耳其工业展览会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参展商名称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position w:val="-4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737" w:leftChars="-351" w:firstLine="736" w:firstLineChars="307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企业详细地址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position w:val="-4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6764" w:type="dxa"/>
            <w:gridSpan w:val="7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  <w:tc>
          <w:tcPr>
            <w:tcW w:w="40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电话（含区号）：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传真（含区号）：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E-mail：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申请： 标准展位（9</w:t>
            </w:r>
            <w:r>
              <w:rPr>
                <w:rFonts w:hint="eastAsia" w:ascii="仿宋_GB2312" w:hAnsi="宋体"/>
                <w:sz w:val="24"/>
              </w:rPr>
              <w:t>㎡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）：  个；     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是否角摊：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65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展品：  □组展单位统一协调运输     □自带展品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预计展品：       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655" w:type="dxa"/>
            <w:gridSpan w:val="8"/>
            <w:noWrap w:val="0"/>
            <w:vAlign w:val="center"/>
          </w:tcPr>
          <w:p>
            <w:pPr>
              <w:ind w:left="1154" w:leftChars="-22" w:hanging="1200" w:hangingChars="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是否具有申请中小企业补贴资质：□是    □否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92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主要参展展品介绍（中英文，50字内）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护照号码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470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组展单位盖章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  期：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参展商盖章：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日期：    （根据报名和汇款先后顺序安排展位）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5"/>
        <w:textAlignment w:val="auto"/>
        <w:rPr>
          <w:rFonts w:hint="eastAsia" w:ascii="宋体" w:hAnsi="宋体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1、为做好展览会前期准备工作，请各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参加</w:t>
      </w:r>
      <w:r>
        <w:rPr>
          <w:rFonts w:hint="eastAsia" w:ascii="宋体" w:hAnsi="宋体" w:eastAsia="宋体" w:cs="Times New Roman"/>
          <w:kern w:val="0"/>
          <w:szCs w:val="21"/>
        </w:rPr>
        <w:t>企业将报名表</w:t>
      </w:r>
      <w:r>
        <w:rPr>
          <w:rFonts w:hint="eastAsia" w:ascii="宋体" w:hAnsi="宋体" w:eastAsia="宋体" w:cs="Times New Roman"/>
          <w:kern w:val="0"/>
          <w:szCs w:val="21"/>
          <w:lang w:eastAsia="zh-CN"/>
        </w:rPr>
        <w:t>填写并加盖单位公章后</w:t>
      </w:r>
      <w:r>
        <w:rPr>
          <w:rFonts w:hint="eastAsia" w:ascii="宋体" w:hAnsi="宋体" w:eastAsia="宋体" w:cs="Times New Roman"/>
          <w:kern w:val="0"/>
          <w:szCs w:val="21"/>
        </w:rPr>
        <w:t>于202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年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月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宋体" w:hAnsi="宋体" w:cs="Times New Roman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日前发送至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cds</w:t>
      </w:r>
      <w:r>
        <w:rPr>
          <w:rFonts w:hint="default" w:ascii="宋体" w:hAnsi="宋体" w:eastAsia="宋体" w:cs="Times New Roman"/>
          <w:kern w:val="0"/>
          <w:szCs w:val="21"/>
          <w:lang w:val="en" w:eastAsia="zh-CN"/>
        </w:rPr>
        <w:t>2312057@163.com</w:t>
      </w:r>
      <w:r>
        <w:rPr>
          <w:rFonts w:hint="eastAsia" w:ascii="宋体" w:hAnsi="宋体" w:eastAsia="宋体" w:cs="Times New Roman"/>
          <w:kern w:val="0"/>
          <w:szCs w:val="21"/>
          <w:lang w:val="en" w:eastAsia="zh-CN"/>
        </w:rPr>
        <w:t>邮箱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2、此表用作确认展位信息所用，表中联系人的名称及联系方式请务必填写工整，我们会将有关展会的所有相关事宜均将发至此表中您确认的邮箱。</w:t>
      </w: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  <w:rFonts w:hint="eastAsia" w:ascii="宋体" w:hAnsi="宋体"/>
        <w:sz w:val="24"/>
      </w:rPr>
    </w:pPr>
    <w:r>
      <w:rPr>
        <w:rStyle w:val="24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4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4"/>
        <w:rFonts w:hint="eastAsia" w:ascii="宋体" w:hAnsi="宋体"/>
        <w:sz w:val="24"/>
      </w:rPr>
      <w:t xml:space="preserve"> —</w:t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60288;mso-width-relative:page;mso-height-relative:page;" filled="f" stroked="t" coordsize="21600,21600" o:gfxdata="UEsDBAoAAAAAAIdO4kAAAAAAAAAAAAAAAAAEAAAAZHJzL1BLAwQUAAAACACHTuJAQbZdHtgAAAAN&#10;AQAADwAAAGRycy9kb3ducmV2LnhtbE2PQU+DQBCF7yb+h82YeGsXbDWFsjSK6cHEC1XvW3YKBHaW&#10;sEuL/97xYOxx3nt5875sN9tenHH0rSMF8TICgVQ501Kt4PNjv9iA8EGT0b0jVPCNHnb57U2mU+Mu&#10;VOL5EGrBJeRTraAJYUil9FWDVvulG5DYO7nR6sDnWEsz6guX214+RNGTtLol/tDoAYsGq+4wWQVv&#10;z+/dSxGKsnztu2Sev6ak2KNS93dxtAURcA7/Yfidz9Mh501HN5HxolewiFfMEthYJ6s1CI5skkem&#10;Of5JMs/kNUX+A1BLAwQUAAAACACHTuJAA+TWue8BAADjAwAADgAAAGRycy9lMm9Eb2MueG1srVNL&#10;btswEN0X6B0I7mtJBtwYguUs4rqbojXQ9ABjkrKI8AcObdln6TW66qbHyTU6lBwnTTdeRAtqyBm+&#10;mfdmuLg9WsMOKqL2ruHVpORMOeGldruG/7hff5hzhgmcBOOdavhJIb9dvn+36EOtpr7zRqrICMRh&#10;3YeGdymFuihQdMoCTnxQjpytjxYSbeOukBF6QremmJblx6L3UYbohUKk09Xo5GfEeA2gb1st1MqL&#10;vVUujahRGUhECTsdkC+HattWifStbVElZhpOTNOwUhKyt3ktlguodxFCp8W5BLimhFecLGhHSS9Q&#10;K0jA9lH/B2W1iB59mybC22IkMihCLKrylTbfOwhq4EJSY7iIjm8HK74eNpFp2fAZZw4sNfzx56/H&#10;339YNc3i9AFrirlzm3jeYdjEzPTYRpv/xIEdB0FPF0HVMTFBh7Obm3I+J63Fk694vhgips/KW5aN&#10;hhvtMleo4fAFEyWj0KeQfGwc6zNiNct4QJPXUsfJtIGqT51299TDhwECvdFyrY3JFzHutncmsgPQ&#10;DKzXJX2ZGcH/E5ZzrQC7MW5wjdPRKZCfnGTpFEgdR4+C50qskpwZRW8oWwQIdQJtromk1MZRBVnc&#10;Uc5sbb08US/2IepdR4JUQ5XZQ70f6j3PaR6ul/sB6fltL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bZdHtgAAAANAQAADwAAAAAAAAABACAAAAAiAAAAZHJzL2Rvd25yZXYueG1sUEsBAhQAFAAA&#10;AAgAh07iQAPk1rnvAQAA4wMAAA4AAAAAAAAAAQAgAAAAJwEAAGRycy9lMm9Eb2MueG1sUEsFBgAA&#10;AAAGAAYAWQEAAIg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9264;mso-width-relative:page;mso-height-relative:page;" filled="f" stroked="f" coordsize="21600,21600" o:gfxdata="UEsDBAoAAAAAAIdO4kAAAAAAAAAAAAAAAAAEAAAAZHJzL1BLAwQUAAAACACHTuJAcrH6mtgAAAAL&#10;AQAADwAAAGRycy9kb3ducmV2LnhtbE2PTU/DMAyG70j8h8hI3FjSSWu30nRCCE5IiK4cOKat10Zr&#10;nNJkH/x7vBMc/fjV68fF9uJGccI5WE8akoUCgdT6zlKv4bN+fViDCNFQZ0ZPqOEHA2zL25vC5J0/&#10;U4WnXewFl1DIjYYhximXMrQDOhMWfkLi3d7PzkQe5152szlzuRvlUqlUOmOJLwxmwucB28Pu6DQ8&#10;fVH1Yr/fm49qX9m63ih6Sw9a398l6hFExEv8C8NVn9WhZKfGH6kLYtSQbTjIeKWWKxAcWGcJo+aK&#10;0kyBLAv5/4fyF1BLAwQUAAAACACHTuJAYihIM8UBAACBAwAADgAAAGRycy9lMm9Eb2MueG1srVPN&#10;jtMwEL4j8Q6W7zTpql2WqOlKqFqEhABp4QFcx2ks+Y8Zt0lfAN6AExfuPFefg7HTdGG57IGLM5mZ&#10;fPN93zir28EadlCA2ruaz2clZ8pJ32i3q/nnT3cvbjjDKFwjjHeq5keF/Hb9/NmqD5W68p03jQJG&#10;IA6rPtS8izFURYGyU1bgzAflqNh6sCLSK+yKBkRP6NYUV2V5XfQemgBeKkTKbsYiPyPCUwB922qp&#10;Nl7urXJxRAVlRCRJ2OmAfJ3Ztq2S8UPboorM1JyUxnzSEIq36SzWK1HtQIROyzMF8RQKjzRZoR0N&#10;vUBtRBRsD/ofKKslePRtnElvi1FIdoRUzMtH3tx3IqishazGcDEd/x+sfH/4CEw3NV9w5oSlhZ++&#10;fzv9+HX6+ZXN58mfPmBFbfeBGuPw2g90a6Y8UjLJHlqw6UmCGNXJ3ePFXTVEJim5XNxcL0oqSaot&#10;ylfLl8sEUzx8HQDjG+UtS0HNgbaXTRWHdxjH1qklDXP+ThuTN2jcXwnCTJkiUR8ppigO2+GsZ+ub&#10;I8npafE1xy97AYoz89aRs+mWTAFMwXYK9gH0riNy2YI8gDaTVZxvUVr9n++ZxsOfs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rH6mtgAAAALAQAADwAAAAAAAAABACAAAAAiAAAAZHJzL2Rvd25y&#10;ZXYueG1sUEsBAhQAFAAAAAgAh07iQGIoSDPFAQAAgQ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mQxNDcwOGE4YWY1YTQzYTc1M2I1NDYwYWZmZGYifQ=="/>
  </w:docVars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2A6943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92E7225"/>
    <w:rsid w:val="7AE9C865"/>
    <w:rsid w:val="7BFE1EF0"/>
    <w:rsid w:val="7E7B793A"/>
    <w:rsid w:val="7F333B26"/>
    <w:rsid w:val="7F572A8D"/>
    <w:rsid w:val="7F9F0875"/>
    <w:rsid w:val="9F3F92C7"/>
    <w:rsid w:val="9F76D721"/>
    <w:rsid w:val="ADB57F37"/>
    <w:rsid w:val="B74AC57A"/>
    <w:rsid w:val="BA2A3CCA"/>
    <w:rsid w:val="BF7BEDCB"/>
    <w:rsid w:val="C7D7434B"/>
    <w:rsid w:val="CD37C609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8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7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shd w:val="clear" w:color="auto" w:fill="auto"/>
      <w:vertAlign w:val="baseline"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0"/>
    <w:rPr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character" w:customStyle="1" w:styleId="28">
    <w:name w:val="font11"/>
    <w:basedOn w:val="22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9">
    <w:name w:val="font21"/>
    <w:basedOn w:val="22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apple-style-span"/>
    <w:basedOn w:val="22"/>
    <w:qFormat/>
    <w:uiPriority w:val="0"/>
  </w:style>
  <w:style w:type="character" w:customStyle="1" w:styleId="31">
    <w:name w:val="login"/>
    <w:basedOn w:val="22"/>
    <w:qFormat/>
    <w:uiPriority w:val="0"/>
  </w:style>
  <w:style w:type="paragraph" w:customStyle="1" w:styleId="32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3">
    <w:name w:val="样式1"/>
    <w:basedOn w:val="1"/>
    <w:qFormat/>
    <w:uiPriority w:val="0"/>
    <w:rPr>
      <w:rFonts w:eastAsia="楷体_GB2312"/>
      <w:sz w:val="32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5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6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8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0">
    <w:name w:val="样式5"/>
    <w:basedOn w:val="33"/>
    <w:qFormat/>
    <w:uiPriority w:val="0"/>
    <w:rPr>
      <w:rFonts w:eastAsia="方正小标宋简体"/>
    </w:rPr>
  </w:style>
  <w:style w:type="paragraph" w:customStyle="1" w:styleId="41">
    <w:name w:val="样式3"/>
    <w:basedOn w:val="33"/>
    <w:qFormat/>
    <w:uiPriority w:val="0"/>
    <w:rPr>
      <w:rFonts w:eastAsia="黑体"/>
    </w:rPr>
  </w:style>
  <w:style w:type="paragraph" w:customStyle="1" w:styleId="42">
    <w:name w:val="样式2"/>
    <w:basedOn w:val="33"/>
    <w:qFormat/>
    <w:uiPriority w:val="0"/>
    <w:rPr>
      <w:rFonts w:eastAsia="宋体"/>
    </w:rPr>
  </w:style>
  <w:style w:type="paragraph" w:customStyle="1" w:styleId="43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5">
    <w:name w:val="样式4"/>
    <w:basedOn w:val="33"/>
    <w:qFormat/>
    <w:uiPriority w:val="0"/>
    <w:rPr>
      <w:rFonts w:eastAsia="仿宋_GB2312"/>
    </w:rPr>
  </w:style>
  <w:style w:type="paragraph" w:customStyle="1" w:styleId="46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8">
    <w:name w:val="12b1"/>
    <w:qFormat/>
    <w:uiPriority w:val="0"/>
    <w:rPr>
      <w:b/>
      <w:bCs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1748</Words>
  <Characters>1884</Characters>
  <Lines>3</Lines>
  <Paragraphs>1</Paragraphs>
  <TotalTime>1</TotalTime>
  <ScaleCrop>false</ScaleCrop>
  <LinksUpToDate>false</LinksUpToDate>
  <CharactersWithSpaces>2066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2020-03-19T04:27:00Z</dcterms:created>
  <dc:creator>微软用户</dc:creator>
  <cp:lastModifiedBy>Lenovo</cp:lastModifiedBy>
  <cp:lastPrinted>2019-12-06T22:12:00Z</cp:lastPrinted>
  <dcterms:modified xsi:type="dcterms:W3CDTF">2023-09-07T01:30:03Z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7F1BC0A0A1434A67BBBEEDFB693F13D2_13</vt:lpwstr>
  </property>
</Properties>
</file>